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6065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0FAC182D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1545CE"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proofErr w:type="spellStart"/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proofErr w:type="spellEnd"/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22B59115" w:rsidR="009553BE" w:rsidRPr="00C75239" w:rsidRDefault="00A65BEC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EC">
              <w:rPr>
                <w:rFonts w:ascii="Times New Roman" w:hAnsi="Times New Roman" w:cs="Times New Roman"/>
                <w:u w:color="244061"/>
              </w:rPr>
              <w:t xml:space="preserve">Expert to draft the curricula and deliver professional short terms courses on </w:t>
            </w:r>
            <w:r w:rsidR="001545CE">
              <w:rPr>
                <w:rFonts w:ascii="Times New Roman" w:hAnsi="Times New Roman" w:cs="Times New Roman"/>
                <w:u w:color="244061"/>
              </w:rPr>
              <w:t>Handcrafts</w:t>
            </w:r>
            <w:r w:rsidR="009811B3">
              <w:rPr>
                <w:rFonts w:ascii="Times New Roman" w:hAnsi="Times New Roman" w:cs="Times New Roman"/>
                <w:u w:color="244061"/>
              </w:rPr>
              <w:t>/Cooking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49034967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A65BEC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="004D6402">
              <w:rPr>
                <w:rFonts w:ascii="Times New Roman" w:hAnsi="Times New Roman" w:cs="Times New Roman"/>
                <w:b/>
                <w:bCs/>
                <w:lang w:val="en-GB"/>
              </w:rPr>
              <w:t>.</w:t>
            </w:r>
            <w:r w:rsidR="00A65BEC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="004D6402">
              <w:rPr>
                <w:rFonts w:ascii="Times New Roman" w:hAnsi="Times New Roman" w:cs="Times New Roman"/>
                <w:b/>
                <w:bCs/>
                <w:lang w:val="en-GB"/>
              </w:rPr>
              <w:t>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1F7362FE" w:rsidR="009553BE" w:rsidRPr="004D6402" w:rsidRDefault="001545CE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545CE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10293C">
              <w:rPr>
                <w:rFonts w:ascii="Times New Roman" w:hAnsi="Times New Roman" w:cs="Times New Roman"/>
                <w:b/>
                <w:lang w:val="en-GB"/>
              </w:rPr>
              <w:t>7</w:t>
            </w:r>
            <w:r w:rsidR="004D6402" w:rsidRPr="001545CE">
              <w:rPr>
                <w:rFonts w:ascii="Times New Roman" w:hAnsi="Times New Roman" w:cs="Times New Roman"/>
                <w:b/>
                <w:lang w:val="en-GB"/>
              </w:rPr>
              <w:t>.</w:t>
            </w:r>
            <w:r w:rsidRPr="001545CE">
              <w:rPr>
                <w:rFonts w:ascii="Times New Roman" w:hAnsi="Times New Roman" w:cs="Times New Roman"/>
                <w:b/>
                <w:lang w:val="en-GB"/>
              </w:rPr>
              <w:t>12</w:t>
            </w:r>
            <w:r w:rsidR="009F2E83" w:rsidRPr="001545CE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1545C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1545CE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7F350976" w14:textId="6EFDF16F" w:rsidR="004D6402" w:rsidRPr="004D6402" w:rsidRDefault="00541E26" w:rsidP="004D6402">
      <w:pPr>
        <w:pStyle w:val="Blockquote"/>
        <w:ind w:left="0"/>
        <w:jc w:val="both"/>
        <w:rPr>
          <w:rStyle w:val="Emphasis"/>
          <w:i w:val="0"/>
          <w:iCs/>
          <w:sz w:val="22"/>
          <w:szCs w:val="22"/>
          <w:lang w:val="en-GB"/>
        </w:rPr>
      </w:pPr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New Opportunities </w:t>
      </w:r>
      <w:proofErr w:type="spellStart"/>
      <w:r w:rsidRPr="00541E26">
        <w:rPr>
          <w:rStyle w:val="Emphasis"/>
          <w:i w:val="0"/>
          <w:iCs/>
          <w:sz w:val="22"/>
          <w:szCs w:val="22"/>
          <w:lang w:val="en-GB"/>
        </w:rPr>
        <w:t>Kukes</w:t>
      </w:r>
      <w:proofErr w:type="spellEnd"/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 (NOK)</w:t>
      </w:r>
      <w:r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9F2E83" w:rsidRPr="00DF6468">
        <w:rPr>
          <w:rStyle w:val="Emphasis"/>
          <w:i w:val="0"/>
          <w:iCs/>
          <w:sz w:val="22"/>
          <w:szCs w:val="22"/>
          <w:lang w:val="en-GB"/>
        </w:rPr>
        <w:t xml:space="preserve">Project has foreseen to engage </w:t>
      </w:r>
      <w:r w:rsidR="00601005" w:rsidRPr="00DF6468">
        <w:rPr>
          <w:rStyle w:val="Emphasis"/>
          <w:i w:val="0"/>
          <w:iCs/>
          <w:sz w:val="22"/>
          <w:szCs w:val="22"/>
          <w:lang w:val="en-GB"/>
        </w:rPr>
        <w:t>one</w:t>
      </w:r>
      <w:r w:rsidR="004D6402" w:rsidRPr="004D6402">
        <w:rPr>
          <w:rStyle w:val="Emphasis"/>
          <w:i w:val="0"/>
          <w:iCs/>
          <w:sz w:val="22"/>
          <w:szCs w:val="22"/>
          <w:lang w:val="en-GB"/>
        </w:rPr>
        <w:t xml:space="preserve"> expert will be hired to:</w:t>
      </w:r>
      <w:r w:rsidR="004D6402"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A65BEC" w:rsidRPr="00A65BEC">
        <w:rPr>
          <w:u w:color="244061"/>
        </w:rPr>
        <w:t xml:space="preserve">draft the curricula and deliver professional short terms courses on </w:t>
      </w:r>
      <w:r w:rsidR="00A10AE9">
        <w:rPr>
          <w:u w:color="244061"/>
        </w:rPr>
        <w:t>Handcrafts</w:t>
      </w:r>
      <w:r w:rsidR="009811B3">
        <w:rPr>
          <w:u w:color="244061"/>
        </w:rPr>
        <w:t>/Cooking</w:t>
      </w:r>
      <w:r w:rsidR="00A65BEC">
        <w:rPr>
          <w:u w:color="244061"/>
        </w:rPr>
        <w:t xml:space="preserve"> for youth and women in </w:t>
      </w:r>
      <w:proofErr w:type="spellStart"/>
      <w:r w:rsidR="00A65BEC">
        <w:rPr>
          <w:u w:color="244061"/>
        </w:rPr>
        <w:t>Kukes</w:t>
      </w:r>
      <w:proofErr w:type="spellEnd"/>
      <w:r w:rsidR="004D6402" w:rsidRPr="004D6402">
        <w:rPr>
          <w:rStyle w:val="Emphasis"/>
          <w:i w:val="0"/>
          <w:iCs/>
          <w:sz w:val="22"/>
          <w:szCs w:val="22"/>
          <w:lang w:val="en-GB"/>
        </w:rPr>
        <w:t>.</w:t>
      </w:r>
    </w:p>
    <w:p w14:paraId="53960F3F" w14:textId="2BB96203" w:rsidR="004D6402" w:rsidRDefault="004D6402" w:rsidP="004D6402">
      <w:pPr>
        <w:pStyle w:val="Blockquote"/>
        <w:ind w:left="0"/>
        <w:jc w:val="both"/>
        <w:rPr>
          <w:rStyle w:val="Emphasis"/>
          <w:i w:val="0"/>
          <w:iCs/>
          <w:sz w:val="22"/>
          <w:szCs w:val="22"/>
          <w:lang w:val="en-GB"/>
        </w:rPr>
      </w:pPr>
      <w:r w:rsidRPr="004D6402">
        <w:rPr>
          <w:rStyle w:val="Emphasis"/>
          <w:i w:val="0"/>
          <w:iCs/>
          <w:sz w:val="22"/>
          <w:szCs w:val="22"/>
          <w:lang w:val="en-GB"/>
        </w:rPr>
        <w:t xml:space="preserve">The training will serve to increase their professional capacities </w:t>
      </w:r>
      <w:r w:rsidR="00A65BEC">
        <w:rPr>
          <w:rStyle w:val="Emphasis"/>
          <w:i w:val="0"/>
          <w:iCs/>
          <w:sz w:val="22"/>
          <w:szCs w:val="22"/>
          <w:lang w:val="en-GB"/>
        </w:rPr>
        <w:t xml:space="preserve">on </w:t>
      </w:r>
      <w:r w:rsidR="00A10AE9">
        <w:rPr>
          <w:rStyle w:val="Emphasis"/>
          <w:i w:val="0"/>
          <w:iCs/>
          <w:sz w:val="22"/>
          <w:szCs w:val="22"/>
          <w:lang w:val="en-GB"/>
        </w:rPr>
        <w:t>Handcrafts</w:t>
      </w:r>
      <w:r w:rsidR="009811B3">
        <w:rPr>
          <w:rStyle w:val="Emphasis"/>
          <w:i w:val="0"/>
          <w:iCs/>
          <w:sz w:val="22"/>
          <w:szCs w:val="22"/>
          <w:lang w:val="en-GB"/>
        </w:rPr>
        <w:t>/Cooking</w:t>
      </w:r>
      <w:r w:rsidR="00A65BEC"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Pr="004D6402">
        <w:rPr>
          <w:rStyle w:val="Emphasis"/>
          <w:i w:val="0"/>
          <w:iCs/>
          <w:sz w:val="22"/>
          <w:szCs w:val="22"/>
          <w:lang w:val="en-GB"/>
        </w:rPr>
        <w:t>and offer them a perspective for future employment</w:t>
      </w:r>
      <w:r w:rsidR="00A65BEC">
        <w:rPr>
          <w:rStyle w:val="Emphasis"/>
          <w:i w:val="0"/>
          <w:iCs/>
          <w:sz w:val="22"/>
          <w:szCs w:val="22"/>
          <w:lang w:val="en-GB"/>
        </w:rPr>
        <w:t xml:space="preserve"> in this area</w:t>
      </w:r>
      <w:r w:rsidRPr="004D6402">
        <w:rPr>
          <w:rStyle w:val="Emphasis"/>
          <w:i w:val="0"/>
          <w:iCs/>
          <w:sz w:val="22"/>
          <w:szCs w:val="22"/>
          <w:lang w:val="en-GB"/>
        </w:rPr>
        <w:t>.</w:t>
      </w:r>
    </w:p>
    <w:p w14:paraId="656148DB" w14:textId="79883CC5" w:rsidR="00EF01CC" w:rsidRPr="00445FE0" w:rsidRDefault="00EF01CC" w:rsidP="004D6402">
      <w:pPr>
        <w:pStyle w:val="Blockquote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71C3A2BE" w14:textId="77777777" w:rsidR="00D8318F" w:rsidRPr="002B3C33" w:rsidRDefault="00D8318F" w:rsidP="00D8318F">
      <w:pPr>
        <w:spacing w:after="0"/>
        <w:rPr>
          <w:rFonts w:ascii="Times New Roman" w:hAnsi="Times New Roman"/>
          <w:sz w:val="24"/>
          <w:szCs w:val="24"/>
        </w:rPr>
      </w:pPr>
    </w:p>
    <w:p w14:paraId="79473B52" w14:textId="77777777" w:rsidR="00D8318F" w:rsidRPr="00D8318F" w:rsidRDefault="00D8318F" w:rsidP="00D8318F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Hlk99709659"/>
      <w:r w:rsidRPr="00D8318F">
        <w:rPr>
          <w:rFonts w:ascii="Times New Roman" w:hAnsi="Times New Roman" w:cs="Times New Roman"/>
          <w:b/>
          <w:bCs/>
          <w:color w:val="auto"/>
          <w:sz w:val="22"/>
          <w:szCs w:val="22"/>
        </w:rPr>
        <w:t>Qualifications and skills</w:t>
      </w:r>
    </w:p>
    <w:p w14:paraId="22159194" w14:textId="77777777" w:rsidR="00DB124A" w:rsidRPr="00714981" w:rsidRDefault="00DB124A" w:rsidP="00DB124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Qualification certificate of professional education i</w:t>
      </w:r>
      <w:r w:rsidRPr="00714981">
        <w:rPr>
          <w:rFonts w:ascii="Times New Roman" w:hAnsi="Times New Roman"/>
          <w:sz w:val="24"/>
          <w:szCs w:val="24"/>
          <w:lang w:eastAsia="sv-SE"/>
        </w:rPr>
        <w:t>n Culinary</w:t>
      </w:r>
    </w:p>
    <w:p w14:paraId="307E967C" w14:textId="77777777" w:rsidR="00DB124A" w:rsidRDefault="00DB124A" w:rsidP="00DB124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714981">
        <w:rPr>
          <w:rFonts w:ascii="Times New Roman" w:hAnsi="Times New Roman"/>
          <w:sz w:val="24"/>
          <w:szCs w:val="24"/>
          <w:lang w:eastAsia="sv-SE"/>
        </w:rPr>
        <w:t xml:space="preserve">Certificates received in the field of Handcrafts/Cooking </w:t>
      </w:r>
    </w:p>
    <w:p w14:paraId="035FE3F9" w14:textId="77777777" w:rsidR="00DB124A" w:rsidRPr="00714981" w:rsidRDefault="00DB124A" w:rsidP="00DB124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t>Communication and presenting skills</w:t>
      </w:r>
    </w:p>
    <w:p w14:paraId="10B98188" w14:textId="77777777" w:rsidR="00DB124A" w:rsidRPr="00714981" w:rsidRDefault="00DB124A" w:rsidP="00DB124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714981">
        <w:rPr>
          <w:rFonts w:ascii="Times New Roman" w:hAnsi="Times New Roman"/>
          <w:sz w:val="24"/>
          <w:szCs w:val="24"/>
          <w:lang w:eastAsia="sv-SE"/>
        </w:rPr>
        <w:t>Albanian language skills</w:t>
      </w:r>
    </w:p>
    <w:p w14:paraId="1CCD8AC0" w14:textId="77777777" w:rsidR="00D8318F" w:rsidRPr="005E0C11" w:rsidRDefault="00D8318F" w:rsidP="00D8318F">
      <w:pPr>
        <w:spacing w:after="0"/>
        <w:ind w:left="1080"/>
        <w:rPr>
          <w:rFonts w:ascii="Times New Roman" w:hAnsi="Times New Roman"/>
          <w:sz w:val="24"/>
          <w:szCs w:val="24"/>
          <w:lang w:eastAsia="sv-SE"/>
        </w:rPr>
      </w:pPr>
    </w:p>
    <w:p w14:paraId="1450AF03" w14:textId="77777777" w:rsidR="00D8318F" w:rsidRPr="00714981" w:rsidRDefault="00D8318F" w:rsidP="00D8318F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  <w:r w:rsidRPr="00714981">
        <w:rPr>
          <w:rFonts w:ascii="Times New Roman" w:hAnsi="Times New Roman"/>
          <w:b/>
          <w:sz w:val="24"/>
          <w:szCs w:val="24"/>
        </w:rPr>
        <w:t>General professional experience</w:t>
      </w:r>
    </w:p>
    <w:p w14:paraId="7656AF99" w14:textId="77777777" w:rsidR="00D8318F" w:rsidRPr="00714981" w:rsidRDefault="00D8318F" w:rsidP="00D8318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714981">
        <w:rPr>
          <w:rFonts w:ascii="Times New Roman" w:hAnsi="Times New Roman"/>
          <w:sz w:val="24"/>
          <w:szCs w:val="24"/>
          <w:lang w:eastAsia="sv-SE"/>
        </w:rPr>
        <w:t xml:space="preserve">3 - 5 years of working experience relevant to the assignment, in Trainings on handcrafts/cooking, extensive knowledge of food industry, cooking and management etc. </w:t>
      </w:r>
    </w:p>
    <w:p w14:paraId="44864957" w14:textId="748621B7" w:rsidR="00D8318F" w:rsidRPr="00D8318F" w:rsidRDefault="00D8318F" w:rsidP="00D8318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714981">
        <w:rPr>
          <w:rFonts w:ascii="Times New Roman" w:hAnsi="Times New Roman"/>
          <w:sz w:val="24"/>
          <w:szCs w:val="24"/>
          <w:lang w:eastAsia="sv-SE"/>
        </w:rPr>
        <w:t>Previous relevant working experience with EU or other donors funded project will be an asset</w:t>
      </w:r>
    </w:p>
    <w:p w14:paraId="6EB85868" w14:textId="77777777" w:rsidR="00D8318F" w:rsidRPr="00AB6BFF" w:rsidRDefault="00D8318F" w:rsidP="00D8318F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  <w:r w:rsidRPr="00AB6BFF">
        <w:rPr>
          <w:rFonts w:ascii="Times New Roman" w:hAnsi="Times New Roman"/>
          <w:b/>
          <w:sz w:val="24"/>
          <w:szCs w:val="24"/>
        </w:rPr>
        <w:lastRenderedPageBreak/>
        <w:t>Specific professional experience</w:t>
      </w:r>
    </w:p>
    <w:p w14:paraId="31248AC3" w14:textId="77777777" w:rsidR="00D8318F" w:rsidRPr="00AB6BFF" w:rsidRDefault="00D8318F" w:rsidP="00D8318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AB6BFF">
        <w:rPr>
          <w:rFonts w:ascii="Times New Roman" w:hAnsi="Times New Roman"/>
          <w:sz w:val="24"/>
          <w:szCs w:val="24"/>
          <w:lang w:eastAsia="sv-SE"/>
        </w:rPr>
        <w:t>Previous experience in 1 similar project and/or development of similar trainings;</w:t>
      </w:r>
    </w:p>
    <w:p w14:paraId="61EC33C7" w14:textId="77777777" w:rsidR="00D8318F" w:rsidRPr="00AB6BFF" w:rsidRDefault="00D8318F" w:rsidP="00D8318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sv-SE"/>
        </w:rPr>
      </w:pPr>
      <w:r w:rsidRPr="00AB6BFF">
        <w:rPr>
          <w:rFonts w:ascii="Times New Roman" w:hAnsi="Times New Roman"/>
          <w:sz w:val="24"/>
          <w:szCs w:val="24"/>
          <w:lang w:eastAsia="sv-SE"/>
        </w:rPr>
        <w:t xml:space="preserve">Previous experience in 1 similar project and/or development in </w:t>
      </w:r>
      <w:proofErr w:type="spellStart"/>
      <w:r w:rsidRPr="00AB6BFF">
        <w:rPr>
          <w:rFonts w:ascii="Times New Roman" w:hAnsi="Times New Roman"/>
          <w:sz w:val="24"/>
          <w:szCs w:val="24"/>
          <w:lang w:eastAsia="sv-SE"/>
        </w:rPr>
        <w:t>Kukes</w:t>
      </w:r>
      <w:proofErr w:type="spellEnd"/>
      <w:r w:rsidRPr="00AB6BFF">
        <w:rPr>
          <w:rFonts w:ascii="Times New Roman" w:hAnsi="Times New Roman"/>
          <w:sz w:val="24"/>
          <w:szCs w:val="24"/>
          <w:lang w:eastAsia="sv-SE"/>
        </w:rPr>
        <w:t xml:space="preserve"> area will be an asset. </w:t>
      </w:r>
    </w:p>
    <w:p w14:paraId="3D8B4A6F" w14:textId="77777777" w:rsidR="00D8318F" w:rsidRPr="00AB6BFF" w:rsidRDefault="00D8318F" w:rsidP="00D8318F">
      <w:pPr>
        <w:pStyle w:val="ListParagraph"/>
        <w:widowControl w:val="0"/>
        <w:numPr>
          <w:ilvl w:val="0"/>
          <w:numId w:val="15"/>
        </w:numPr>
        <w:spacing w:before="10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B6BFF">
        <w:rPr>
          <w:rFonts w:ascii="Times New Roman" w:hAnsi="Times New Roman"/>
          <w:sz w:val="24"/>
          <w:szCs w:val="24"/>
        </w:rPr>
        <w:t>Copy of ID document.</w:t>
      </w:r>
    </w:p>
    <w:p w14:paraId="08933A54" w14:textId="57BBB34E" w:rsidR="00D8318F" w:rsidRPr="00D8318F" w:rsidRDefault="00D8318F" w:rsidP="00D8318F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B6BFF">
        <w:rPr>
          <w:rFonts w:ascii="Times New Roman" w:hAnsi="Times New Roman"/>
          <w:snapToGrid w:val="0"/>
          <w:sz w:val="24"/>
          <w:szCs w:val="24"/>
        </w:rPr>
        <w:t>Financial offer which indicates the total fee for this assignment</w:t>
      </w:r>
    </w:p>
    <w:bookmarkEnd w:id="1"/>
    <w:p w14:paraId="13315F37" w14:textId="77777777" w:rsidR="00D8318F" w:rsidRPr="005C2F29" w:rsidRDefault="00D8318F" w:rsidP="00D8318F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57585">
        <w:rPr>
          <w:rFonts w:ascii="Times New Roman" w:hAnsi="Times New Roman"/>
          <w:snapToGrid w:val="0"/>
          <w:sz w:val="24"/>
          <w:szCs w:val="24"/>
        </w:rPr>
        <w:t xml:space="preserve">Financial offer which indicates the </w:t>
      </w:r>
      <w:r>
        <w:rPr>
          <w:rFonts w:ascii="Times New Roman" w:hAnsi="Times New Roman"/>
          <w:snapToGrid w:val="0"/>
          <w:sz w:val="24"/>
          <w:szCs w:val="24"/>
        </w:rPr>
        <w:t>total</w:t>
      </w:r>
      <w:r w:rsidRPr="00F57585">
        <w:rPr>
          <w:rFonts w:ascii="Times New Roman" w:hAnsi="Times New Roman"/>
          <w:snapToGrid w:val="0"/>
          <w:sz w:val="24"/>
          <w:szCs w:val="24"/>
        </w:rPr>
        <w:t xml:space="preserve"> fee for this assignment</w:t>
      </w:r>
    </w:p>
    <w:p w14:paraId="2CC35CF5" w14:textId="0B46E98C" w:rsidR="00C75239" w:rsidRPr="004D6402" w:rsidRDefault="00C75239" w:rsidP="004D6402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i.e.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7A1FF115" w14:textId="5B7F3516" w:rsidR="00C222F8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lastRenderedPageBreak/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1545CE">
        <w:rPr>
          <w:rFonts w:ascii="Times New Roman" w:hAnsi="Times New Roman" w:cs="Times New Roman"/>
          <w:lang w:val="en-GB"/>
        </w:rPr>
        <w:t>2</w:t>
      </w:r>
      <w:r w:rsidR="00CD5C5E">
        <w:rPr>
          <w:rFonts w:ascii="Times New Roman" w:hAnsi="Times New Roman" w:cs="Times New Roman"/>
          <w:lang w:val="en-GB"/>
        </w:rPr>
        <w:t>7</w:t>
      </w:r>
      <w:r w:rsidR="004D6402" w:rsidRPr="00DE455E">
        <w:rPr>
          <w:rFonts w:ascii="Times New Roman" w:hAnsi="Times New Roman" w:cs="Times New Roman"/>
          <w:lang w:val="en-GB"/>
        </w:rPr>
        <w:t>.</w:t>
      </w:r>
      <w:r w:rsidR="001545CE">
        <w:rPr>
          <w:rFonts w:ascii="Times New Roman" w:hAnsi="Times New Roman" w:cs="Times New Roman"/>
          <w:lang w:val="en-GB"/>
        </w:rPr>
        <w:t>12</w:t>
      </w:r>
      <w:r w:rsidR="00D44ECB" w:rsidRPr="00DE455E">
        <w:rPr>
          <w:rFonts w:ascii="Times New Roman" w:hAnsi="Times New Roman" w:cs="Times New Roman"/>
          <w:lang w:val="en-GB"/>
        </w:rPr>
        <w:t>.2022, at 17:00</w:t>
      </w:r>
      <w:r w:rsidR="00BB416F" w:rsidRPr="00DE455E">
        <w:rPr>
          <w:rFonts w:ascii="Times New Roman" w:hAnsi="Times New Roman" w:cs="Times New Roman"/>
          <w:lang w:val="en-GB"/>
        </w:rPr>
        <w:t xml:space="preserve"> p.m</w:t>
      </w:r>
      <w:r w:rsidR="00BB416F">
        <w:rPr>
          <w:rFonts w:ascii="Times New Roman" w:hAnsi="Times New Roman" w:cs="Times New Roman"/>
          <w:lang w:val="en-GB"/>
        </w:rPr>
        <w:t>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7DCF6351" w14:textId="18220700" w:rsidR="00555DF8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6C73461E" w14:textId="77777777" w:rsidR="00555DF8" w:rsidRPr="00FA3406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</w:t>
      </w:r>
      <w:proofErr w:type="spellStart"/>
      <w:r w:rsidRPr="00FA3406">
        <w:rPr>
          <w:rFonts w:ascii="Times New Roman" w:hAnsi="Times New Roman" w:cs="Times New Roman"/>
          <w:lang w:val="en-GB"/>
        </w:rPr>
        <w:t>slip,to</w:t>
      </w:r>
      <w:proofErr w:type="spellEnd"/>
      <w:r w:rsidRPr="00FA3406">
        <w:rPr>
          <w:rFonts w:ascii="Times New Roman" w:hAnsi="Times New Roman" w:cs="Times New Roman"/>
          <w:lang w:val="en-GB"/>
        </w:rPr>
        <w:t xml:space="preserve">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90393553"/>
      <w:bookmarkStart w:id="3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Rruga</w:t>
      </w:r>
      <w:proofErr w:type="spellEnd"/>
      <w:r w:rsidR="00A25DFD" w:rsidRPr="00FA3406">
        <w:rPr>
          <w:rFonts w:ascii="Times New Roman" w:hAnsi="Times New Roman" w:cs="Times New Roman"/>
          <w:b/>
          <w:bCs/>
        </w:rPr>
        <w:t xml:space="preserve">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 xml:space="preserve">Ismail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Qemali</w:t>
      </w:r>
      <w:proofErr w:type="spellEnd"/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Pallati</w:t>
      </w:r>
      <w:proofErr w:type="spellEnd"/>
      <w:r w:rsidR="00A25DFD" w:rsidRPr="00FA3406">
        <w:rPr>
          <w:rFonts w:ascii="Times New Roman" w:hAnsi="Times New Roman" w:cs="Times New Roman"/>
          <w:b/>
          <w:bCs/>
        </w:rPr>
        <w:t xml:space="preserve">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2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3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3406">
        <w:rPr>
          <w:rFonts w:ascii="Times New Roman" w:hAnsi="Times New Roman" w:cs="Times New Roman"/>
          <w:b/>
          <w:bCs/>
        </w:rPr>
        <w:t>Rruga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 “Ismail </w:t>
      </w:r>
      <w:proofErr w:type="spellStart"/>
      <w:r w:rsidRPr="00FA3406">
        <w:rPr>
          <w:rFonts w:ascii="Times New Roman" w:hAnsi="Times New Roman" w:cs="Times New Roman"/>
          <w:b/>
          <w:bCs/>
        </w:rPr>
        <w:t>Qemali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”, </w:t>
      </w:r>
      <w:proofErr w:type="spellStart"/>
      <w:r w:rsidRPr="00FA3406">
        <w:rPr>
          <w:rFonts w:ascii="Times New Roman" w:hAnsi="Times New Roman" w:cs="Times New Roman"/>
          <w:b/>
          <w:bCs/>
        </w:rPr>
        <w:t>Pallati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4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4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lastRenderedPageBreak/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A2540" w14:textId="77777777" w:rsidR="00005CFC" w:rsidRDefault="00005CFC" w:rsidP="009553BE">
      <w:pPr>
        <w:spacing w:after="0" w:line="240" w:lineRule="auto"/>
      </w:pPr>
      <w:r>
        <w:separator/>
      </w:r>
    </w:p>
  </w:endnote>
  <w:endnote w:type="continuationSeparator" w:id="0">
    <w:p w14:paraId="45B1D044" w14:textId="77777777" w:rsidR="00005CFC" w:rsidRDefault="00005CFC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92D9F" w14:textId="77777777" w:rsidR="00005CFC" w:rsidRDefault="00005CFC" w:rsidP="009553BE">
      <w:pPr>
        <w:spacing w:after="0" w:line="240" w:lineRule="auto"/>
      </w:pPr>
      <w:r>
        <w:separator/>
      </w:r>
    </w:p>
  </w:footnote>
  <w:footnote w:type="continuationSeparator" w:id="0">
    <w:p w14:paraId="4B5156EC" w14:textId="77777777" w:rsidR="00005CFC" w:rsidRDefault="00005CFC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D35A97"/>
    <w:multiLevelType w:val="hybridMultilevel"/>
    <w:tmpl w:val="527AA1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6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05CFC"/>
    <w:rsid w:val="00032818"/>
    <w:rsid w:val="00046C08"/>
    <w:rsid w:val="00092725"/>
    <w:rsid w:val="00096072"/>
    <w:rsid w:val="000C0A40"/>
    <w:rsid w:val="000C5333"/>
    <w:rsid w:val="0010293C"/>
    <w:rsid w:val="00137DE0"/>
    <w:rsid w:val="00145997"/>
    <w:rsid w:val="001545CE"/>
    <w:rsid w:val="00185DF7"/>
    <w:rsid w:val="001A103D"/>
    <w:rsid w:val="001C5D36"/>
    <w:rsid w:val="002B7CC2"/>
    <w:rsid w:val="00315F78"/>
    <w:rsid w:val="003256C5"/>
    <w:rsid w:val="00334769"/>
    <w:rsid w:val="00340756"/>
    <w:rsid w:val="00343F59"/>
    <w:rsid w:val="00361869"/>
    <w:rsid w:val="003669B5"/>
    <w:rsid w:val="0039104F"/>
    <w:rsid w:val="003B5A06"/>
    <w:rsid w:val="003F7132"/>
    <w:rsid w:val="00405040"/>
    <w:rsid w:val="0044388B"/>
    <w:rsid w:val="00445FE0"/>
    <w:rsid w:val="00490ED4"/>
    <w:rsid w:val="004B093E"/>
    <w:rsid w:val="004C0767"/>
    <w:rsid w:val="004D6402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C1A90"/>
    <w:rsid w:val="005F50D6"/>
    <w:rsid w:val="00601005"/>
    <w:rsid w:val="00645F8C"/>
    <w:rsid w:val="00696FF3"/>
    <w:rsid w:val="006D194C"/>
    <w:rsid w:val="006F2297"/>
    <w:rsid w:val="006F3408"/>
    <w:rsid w:val="0071603F"/>
    <w:rsid w:val="00723966"/>
    <w:rsid w:val="00766B99"/>
    <w:rsid w:val="00785541"/>
    <w:rsid w:val="007A6026"/>
    <w:rsid w:val="007C4D48"/>
    <w:rsid w:val="007F3078"/>
    <w:rsid w:val="00800666"/>
    <w:rsid w:val="00841FEF"/>
    <w:rsid w:val="0084622A"/>
    <w:rsid w:val="008735A1"/>
    <w:rsid w:val="008A6A50"/>
    <w:rsid w:val="008B059A"/>
    <w:rsid w:val="008F369A"/>
    <w:rsid w:val="00946AB0"/>
    <w:rsid w:val="0095107F"/>
    <w:rsid w:val="009553BE"/>
    <w:rsid w:val="009811B3"/>
    <w:rsid w:val="009F2E83"/>
    <w:rsid w:val="009F6EF7"/>
    <w:rsid w:val="009F780D"/>
    <w:rsid w:val="00A10AE9"/>
    <w:rsid w:val="00A25DFD"/>
    <w:rsid w:val="00A65BEC"/>
    <w:rsid w:val="00A91D78"/>
    <w:rsid w:val="00AA2674"/>
    <w:rsid w:val="00AB3222"/>
    <w:rsid w:val="00AD7FBE"/>
    <w:rsid w:val="00AF7E6F"/>
    <w:rsid w:val="00BB416F"/>
    <w:rsid w:val="00BD34A0"/>
    <w:rsid w:val="00BE6733"/>
    <w:rsid w:val="00C222F8"/>
    <w:rsid w:val="00C459C0"/>
    <w:rsid w:val="00C53829"/>
    <w:rsid w:val="00C53E5F"/>
    <w:rsid w:val="00C75239"/>
    <w:rsid w:val="00CA7BE4"/>
    <w:rsid w:val="00CD5C5E"/>
    <w:rsid w:val="00CE4F15"/>
    <w:rsid w:val="00D046FD"/>
    <w:rsid w:val="00D44ECB"/>
    <w:rsid w:val="00D53447"/>
    <w:rsid w:val="00D57D18"/>
    <w:rsid w:val="00D8318F"/>
    <w:rsid w:val="00D84468"/>
    <w:rsid w:val="00D85608"/>
    <w:rsid w:val="00D95906"/>
    <w:rsid w:val="00DB124A"/>
    <w:rsid w:val="00DB563A"/>
    <w:rsid w:val="00DC0CAE"/>
    <w:rsid w:val="00DE455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E6ACF"/>
    <w:rsid w:val="00EF01CC"/>
    <w:rsid w:val="00F00C1F"/>
    <w:rsid w:val="00F0201C"/>
    <w:rsid w:val="00F27FBE"/>
    <w:rsid w:val="00F54985"/>
    <w:rsid w:val="00F86E50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1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B.T</cp:lastModifiedBy>
  <cp:revision>15</cp:revision>
  <dcterms:created xsi:type="dcterms:W3CDTF">2022-03-31T12:47:00Z</dcterms:created>
  <dcterms:modified xsi:type="dcterms:W3CDTF">2022-11-30T09:55:00Z</dcterms:modified>
</cp:coreProperties>
</file>